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14" w:rsidRDefault="00F31014" w:rsidP="00F31014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 wp14:anchorId="0298E023" wp14:editId="3DDB490D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014" w:rsidRDefault="00F31014" w:rsidP="00F31014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F31014" w:rsidRDefault="00F31014" w:rsidP="00F31014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</w:p>
    <w:p w:rsidR="00F31014" w:rsidRDefault="00F31014" w:rsidP="00F31014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F31014" w:rsidTr="00EE01AF">
        <w:tc>
          <w:tcPr>
            <w:tcW w:w="3107" w:type="dxa"/>
            <w:hideMark/>
          </w:tcPr>
          <w:p w:rsidR="00F31014" w:rsidRDefault="00F31014" w:rsidP="00EE01AF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21.04.2015</w:t>
            </w:r>
          </w:p>
        </w:tc>
        <w:tc>
          <w:tcPr>
            <w:tcW w:w="3107" w:type="dxa"/>
          </w:tcPr>
          <w:p w:rsidR="00F31014" w:rsidRDefault="00F31014" w:rsidP="00EE01AF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F31014" w:rsidRDefault="0080254E" w:rsidP="00EE01AF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505</w:t>
            </w:r>
            <w:r w:rsidR="00F31014">
              <w:rPr>
                <w:rFonts w:cs="Times New Roman"/>
                <w:sz w:val="28"/>
                <w:szCs w:val="28"/>
                <w:lang w:eastAsia="ru-RU"/>
              </w:rPr>
              <w:t>/99</w:t>
            </w:r>
          </w:p>
        </w:tc>
      </w:tr>
    </w:tbl>
    <w:p w:rsidR="00F31014" w:rsidRDefault="00F31014" w:rsidP="00F31014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proofErr w:type="gramStart"/>
      <w:r>
        <w:rPr>
          <w:rFonts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cs="Times New Roman"/>
          <w:b/>
          <w:sz w:val="28"/>
          <w:szCs w:val="28"/>
          <w:lang w:eastAsia="ru-RU"/>
        </w:rPr>
        <w:t>. Михайловка</w:t>
      </w:r>
    </w:p>
    <w:p w:rsidR="00F31014" w:rsidRDefault="00F31014" w:rsidP="00F31014">
      <w:pPr>
        <w:framePr w:hSpace="180" w:wrap="around" w:vAnchor="text" w:hAnchor="page" w:x="1471" w:y="277"/>
        <w:suppressAutoHyphens w:val="0"/>
        <w:rPr>
          <w:rFonts w:cs="Times New Roman"/>
          <w:sz w:val="28"/>
          <w:szCs w:val="28"/>
        </w:rPr>
      </w:pPr>
    </w:p>
    <w:p w:rsidR="00F31014" w:rsidRDefault="00F31014" w:rsidP="00F31014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</w:t>
      </w:r>
    </w:p>
    <w:tbl>
      <w:tblPr>
        <w:tblpPr w:leftFromText="180" w:rightFromText="180" w:bottomFromText="200" w:vertAnchor="text" w:horzAnchor="margin" w:tblpY="226"/>
        <w:tblW w:w="0" w:type="auto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4182"/>
        <w:gridCol w:w="5193"/>
      </w:tblGrid>
      <w:tr w:rsidR="00F31014" w:rsidRPr="009E51A2" w:rsidTr="0080254E">
        <w:trPr>
          <w:trHeight w:val="1560"/>
        </w:trPr>
        <w:tc>
          <w:tcPr>
            <w:tcW w:w="4182" w:type="dxa"/>
            <w:hideMark/>
          </w:tcPr>
          <w:p w:rsidR="00F31014" w:rsidRPr="00F31014" w:rsidRDefault="00F31014" w:rsidP="0080254E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F31014">
              <w:rPr>
                <w:rFonts w:cs="Times New Roman"/>
                <w:sz w:val="28"/>
                <w:szCs w:val="28"/>
                <w:lang w:eastAsia="ru-RU"/>
              </w:rPr>
              <w:t xml:space="preserve">О передаче 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31014">
              <w:rPr>
                <w:rFonts w:cs="Times New Roman"/>
                <w:sz w:val="28"/>
                <w:szCs w:val="28"/>
                <w:lang w:eastAsia="ru-RU"/>
              </w:rPr>
              <w:t>избирательных</w:t>
            </w:r>
            <w:proofErr w:type="gramEnd"/>
          </w:p>
          <w:p w:rsidR="00F31014" w:rsidRPr="00F31014" w:rsidRDefault="00F31014" w:rsidP="0080254E">
            <w:pPr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F31014">
              <w:rPr>
                <w:rFonts w:cs="Times New Roman"/>
                <w:sz w:val="28"/>
                <w:szCs w:val="28"/>
                <w:lang w:eastAsia="ru-RU"/>
              </w:rPr>
              <w:t xml:space="preserve">бюллетеней для голосования на 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досрочных </w:t>
            </w:r>
            <w:r w:rsidRPr="00F31014">
              <w:rPr>
                <w:rFonts w:cs="Times New Roman"/>
                <w:sz w:val="28"/>
                <w:szCs w:val="28"/>
                <w:lang w:eastAsia="ru-RU"/>
              </w:rPr>
              <w:t xml:space="preserve">выборах 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главы </w:t>
            </w:r>
            <w:proofErr w:type="spellStart"/>
            <w:r>
              <w:rPr>
                <w:rFonts w:cs="Times New Roman"/>
                <w:sz w:val="28"/>
                <w:szCs w:val="28"/>
                <w:lang w:eastAsia="ru-RU"/>
              </w:rPr>
              <w:t>Новошахтинского</w:t>
            </w:r>
            <w:proofErr w:type="spellEnd"/>
            <w:r>
              <w:rPr>
                <w:rFonts w:cs="Times New Roman"/>
                <w:sz w:val="28"/>
                <w:szCs w:val="28"/>
                <w:lang w:eastAsia="ru-RU"/>
              </w:rPr>
              <w:t xml:space="preserve"> городского поселения Михайловского муниципального района Приморского края</w:t>
            </w:r>
          </w:p>
          <w:p w:rsidR="00F31014" w:rsidRPr="00F31014" w:rsidRDefault="00F31014" w:rsidP="00F31014">
            <w:pPr>
              <w:suppressAutoHyphens w:val="0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F31014" w:rsidRPr="009E51A2" w:rsidRDefault="00F31014" w:rsidP="00EE01A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93" w:type="dxa"/>
          </w:tcPr>
          <w:p w:rsidR="00F31014" w:rsidRPr="009E51A2" w:rsidRDefault="00F31014" w:rsidP="00EE01AF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F31014" w:rsidRPr="009E51A2" w:rsidRDefault="00F31014" w:rsidP="00EE01AF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  <w:p w:rsidR="00F31014" w:rsidRPr="009E51A2" w:rsidRDefault="00F31014" w:rsidP="00EE01AF">
            <w:pP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F31014" w:rsidRPr="009E51A2" w:rsidRDefault="00F31014" w:rsidP="00EE01AF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F31014" w:rsidRPr="00F31014" w:rsidRDefault="00F31014" w:rsidP="00F31014">
      <w:pPr>
        <w:widowControl w:val="0"/>
        <w:suppressAutoHyphens w:val="0"/>
        <w:jc w:val="center"/>
        <w:rPr>
          <w:rFonts w:cs="Times New Roman"/>
          <w:sz w:val="28"/>
          <w:szCs w:val="28"/>
          <w:lang w:eastAsia="ru-RU"/>
        </w:rPr>
      </w:pPr>
      <w:r w:rsidRPr="00F31014">
        <w:rPr>
          <w:rFonts w:cs="Times New Roman"/>
          <w:b/>
          <w:bCs/>
          <w:sz w:val="32"/>
          <w:szCs w:val="32"/>
          <w:lang w:eastAsia="ru-RU"/>
        </w:rPr>
        <w:tab/>
      </w:r>
    </w:p>
    <w:p w:rsidR="00F31014" w:rsidRPr="00F31014" w:rsidRDefault="00F31014" w:rsidP="00F31014">
      <w:pPr>
        <w:keepNext/>
        <w:suppressAutoHyphens w:val="0"/>
        <w:spacing w:line="360" w:lineRule="auto"/>
        <w:ind w:firstLine="708"/>
        <w:jc w:val="both"/>
        <w:outlineLvl w:val="0"/>
        <w:rPr>
          <w:rFonts w:cs="Times New Roman"/>
          <w:sz w:val="28"/>
          <w:szCs w:val="28"/>
          <w:lang w:eastAsia="ru-RU"/>
        </w:rPr>
      </w:pPr>
      <w:r w:rsidRPr="00F31014">
        <w:rPr>
          <w:rFonts w:cs="Times New Roman"/>
          <w:sz w:val="28"/>
          <w:szCs w:val="28"/>
          <w:lang w:eastAsia="ru-RU"/>
        </w:rPr>
        <w:t>В соответствии с частью 10 статьи  71 Избирательного кодекса Приморского края</w:t>
      </w:r>
      <w:r>
        <w:rPr>
          <w:rFonts w:cs="Times New Roman"/>
          <w:sz w:val="28"/>
          <w:szCs w:val="28"/>
          <w:lang w:eastAsia="ru-RU"/>
        </w:rPr>
        <w:t xml:space="preserve"> территориальная </w:t>
      </w:r>
      <w:r w:rsidRPr="00F31014"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и</w:t>
      </w:r>
      <w:r w:rsidRPr="00F31014">
        <w:rPr>
          <w:rFonts w:cs="Times New Roman"/>
          <w:sz w:val="28"/>
          <w:szCs w:val="28"/>
          <w:lang w:eastAsia="ru-RU"/>
        </w:rPr>
        <w:t xml:space="preserve">збирательная комиссия </w:t>
      </w:r>
      <w:r>
        <w:rPr>
          <w:rFonts w:cs="Times New Roman"/>
          <w:sz w:val="28"/>
          <w:szCs w:val="28"/>
          <w:lang w:eastAsia="ru-RU"/>
        </w:rPr>
        <w:t xml:space="preserve">Михайловского района </w:t>
      </w:r>
    </w:p>
    <w:p w:rsidR="00F31014" w:rsidRPr="00F31014" w:rsidRDefault="00F31014" w:rsidP="00F31014">
      <w:pPr>
        <w:suppressAutoHyphens w:val="0"/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 w:rsidRPr="00F31014">
        <w:rPr>
          <w:rFonts w:cs="Times New Roman"/>
          <w:sz w:val="28"/>
          <w:szCs w:val="28"/>
          <w:lang w:eastAsia="ru-RU"/>
        </w:rPr>
        <w:tab/>
        <w:t>РЕШИЛА:</w:t>
      </w:r>
    </w:p>
    <w:p w:rsidR="00F31014" w:rsidRPr="00F31014" w:rsidRDefault="00F31014" w:rsidP="00F31014">
      <w:pPr>
        <w:suppressAutoHyphens w:val="0"/>
        <w:spacing w:line="360" w:lineRule="auto"/>
        <w:jc w:val="both"/>
        <w:rPr>
          <w:rFonts w:cs="Times New Roman"/>
          <w:bCs/>
          <w:sz w:val="28"/>
          <w:szCs w:val="28"/>
          <w:lang w:eastAsia="ru-RU"/>
        </w:rPr>
      </w:pPr>
      <w:r>
        <w:rPr>
          <w:rFonts w:cs="Times New Roman"/>
          <w:bCs/>
          <w:sz w:val="28"/>
          <w:szCs w:val="28"/>
          <w:lang w:eastAsia="ru-RU"/>
        </w:rPr>
        <w:t xml:space="preserve">          1. </w:t>
      </w:r>
      <w:r w:rsidRPr="00F31014">
        <w:rPr>
          <w:rFonts w:cs="Times New Roman"/>
          <w:bCs/>
          <w:sz w:val="28"/>
          <w:szCs w:val="28"/>
          <w:lang w:eastAsia="ru-RU"/>
        </w:rPr>
        <w:t xml:space="preserve">Определить место и время передачи избирательных бюллетеней для голосования на </w:t>
      </w:r>
      <w:r>
        <w:rPr>
          <w:rFonts w:cs="Times New Roman"/>
          <w:bCs/>
          <w:sz w:val="28"/>
          <w:szCs w:val="28"/>
          <w:lang w:eastAsia="ru-RU"/>
        </w:rPr>
        <w:t xml:space="preserve">досрочных </w:t>
      </w:r>
      <w:r w:rsidRPr="00F31014">
        <w:rPr>
          <w:rFonts w:cs="Times New Roman"/>
          <w:bCs/>
          <w:sz w:val="28"/>
          <w:szCs w:val="28"/>
          <w:lang w:eastAsia="ru-RU"/>
        </w:rPr>
        <w:t xml:space="preserve">выборах </w:t>
      </w:r>
      <w:r>
        <w:rPr>
          <w:rFonts w:cs="Times New Roman"/>
          <w:bCs/>
          <w:sz w:val="28"/>
          <w:szCs w:val="28"/>
          <w:lang w:eastAsia="ru-RU"/>
        </w:rPr>
        <w:t xml:space="preserve">главы </w:t>
      </w:r>
      <w:proofErr w:type="spellStart"/>
      <w:r>
        <w:rPr>
          <w:rFonts w:cs="Times New Roman"/>
          <w:bCs/>
          <w:sz w:val="28"/>
          <w:szCs w:val="28"/>
          <w:lang w:eastAsia="ru-RU"/>
        </w:rPr>
        <w:t>Новошахтинского</w:t>
      </w:r>
      <w:proofErr w:type="spellEnd"/>
      <w:r>
        <w:rPr>
          <w:rFonts w:cs="Times New Roman"/>
          <w:bCs/>
          <w:sz w:val="28"/>
          <w:szCs w:val="28"/>
          <w:lang w:eastAsia="ru-RU"/>
        </w:rPr>
        <w:t xml:space="preserve"> городского поселения Михайловского муниципального района Приморского края </w:t>
      </w:r>
      <w:r w:rsidRPr="00F31014">
        <w:rPr>
          <w:rFonts w:cs="Times New Roman"/>
          <w:bCs/>
          <w:sz w:val="28"/>
          <w:szCs w:val="28"/>
          <w:lang w:eastAsia="ru-RU"/>
        </w:rPr>
        <w:t xml:space="preserve">членам </w:t>
      </w:r>
      <w:r>
        <w:rPr>
          <w:rFonts w:cs="Times New Roman"/>
          <w:bCs/>
          <w:sz w:val="28"/>
          <w:szCs w:val="28"/>
          <w:lang w:eastAsia="ru-RU"/>
        </w:rPr>
        <w:t>территориальной   и</w:t>
      </w:r>
      <w:r w:rsidRPr="00F31014">
        <w:rPr>
          <w:rFonts w:cs="Times New Roman"/>
          <w:bCs/>
          <w:sz w:val="28"/>
          <w:szCs w:val="28"/>
          <w:lang w:eastAsia="ru-RU"/>
        </w:rPr>
        <w:t>збирательной комиссии</w:t>
      </w:r>
      <w:r>
        <w:rPr>
          <w:rFonts w:cs="Times New Roman"/>
          <w:bCs/>
          <w:sz w:val="28"/>
          <w:szCs w:val="28"/>
          <w:lang w:eastAsia="ru-RU"/>
        </w:rPr>
        <w:t xml:space="preserve"> Михайловского района</w:t>
      </w:r>
      <w:r w:rsidRPr="00F31014">
        <w:rPr>
          <w:rFonts w:cs="Times New Roman"/>
          <w:bCs/>
          <w:sz w:val="28"/>
          <w:szCs w:val="28"/>
          <w:lang w:eastAsia="ru-RU"/>
        </w:rPr>
        <w:t>, уничтожения лишних (при их выявлении) избирательных бюллетеней</w:t>
      </w:r>
      <w:r>
        <w:rPr>
          <w:rFonts w:cs="Times New Roman"/>
          <w:bCs/>
          <w:sz w:val="28"/>
          <w:szCs w:val="28"/>
          <w:lang w:eastAsia="ru-RU"/>
        </w:rPr>
        <w:t>: ОО</w:t>
      </w:r>
      <w:r w:rsidRPr="00F31014">
        <w:rPr>
          <w:rFonts w:cs="Times New Roman"/>
          <w:bCs/>
          <w:sz w:val="28"/>
          <w:szCs w:val="28"/>
          <w:lang w:eastAsia="ru-RU"/>
        </w:rPr>
        <w:t>О «</w:t>
      </w:r>
      <w:r>
        <w:rPr>
          <w:rFonts w:cs="Times New Roman"/>
          <w:bCs/>
          <w:sz w:val="28"/>
          <w:szCs w:val="28"/>
          <w:lang w:eastAsia="ru-RU"/>
        </w:rPr>
        <w:t xml:space="preserve">Былина </w:t>
      </w:r>
      <w:proofErr w:type="spellStart"/>
      <w:r>
        <w:rPr>
          <w:rFonts w:cs="Times New Roman"/>
          <w:bCs/>
          <w:sz w:val="28"/>
          <w:szCs w:val="28"/>
          <w:lang w:eastAsia="ru-RU"/>
        </w:rPr>
        <w:t>Ко</w:t>
      </w:r>
      <w:proofErr w:type="gramStart"/>
      <w:r>
        <w:rPr>
          <w:rFonts w:cs="Times New Roman"/>
          <w:bCs/>
          <w:sz w:val="28"/>
          <w:szCs w:val="28"/>
          <w:lang w:eastAsia="ru-RU"/>
        </w:rPr>
        <w:t>.Л</w:t>
      </w:r>
      <w:proofErr w:type="gramEnd"/>
      <w:r>
        <w:rPr>
          <w:rFonts w:cs="Times New Roman"/>
          <w:bCs/>
          <w:sz w:val="28"/>
          <w:szCs w:val="28"/>
          <w:lang w:eastAsia="ru-RU"/>
        </w:rPr>
        <w:t>ТД</w:t>
      </w:r>
      <w:proofErr w:type="spellEnd"/>
      <w:r>
        <w:rPr>
          <w:rFonts w:cs="Times New Roman"/>
          <w:bCs/>
          <w:sz w:val="28"/>
          <w:szCs w:val="28"/>
          <w:lang w:eastAsia="ru-RU"/>
        </w:rPr>
        <w:t>»</w:t>
      </w:r>
      <w:r w:rsidRPr="00F31014">
        <w:rPr>
          <w:rFonts w:cs="Times New Roman"/>
          <w:bCs/>
          <w:sz w:val="28"/>
          <w:szCs w:val="28"/>
          <w:lang w:eastAsia="ru-RU"/>
        </w:rPr>
        <w:t>, г. Владивосток,</w:t>
      </w:r>
      <w:r>
        <w:rPr>
          <w:rFonts w:cs="Times New Roman"/>
          <w:bCs/>
          <w:sz w:val="28"/>
          <w:szCs w:val="28"/>
          <w:lang w:eastAsia="ru-RU"/>
        </w:rPr>
        <w:t xml:space="preserve"> ул. Комсомольская,1 «в» с 11.00 до 12.00 часов. </w:t>
      </w:r>
    </w:p>
    <w:p w:rsidR="00F31014" w:rsidRPr="00F31014" w:rsidRDefault="00F31014" w:rsidP="00F31014">
      <w:pPr>
        <w:suppressAutoHyphens w:val="0"/>
        <w:spacing w:line="360" w:lineRule="auto"/>
        <w:jc w:val="both"/>
        <w:rPr>
          <w:rFonts w:cs="Times New Roman"/>
          <w:bCs/>
          <w:sz w:val="28"/>
          <w:szCs w:val="28"/>
          <w:lang w:eastAsia="ru-RU"/>
        </w:rPr>
      </w:pPr>
      <w:r w:rsidRPr="00F31014">
        <w:rPr>
          <w:rFonts w:cs="Times New Roman"/>
          <w:bCs/>
          <w:sz w:val="28"/>
          <w:szCs w:val="28"/>
          <w:lang w:eastAsia="ru-RU"/>
        </w:rPr>
        <w:tab/>
      </w:r>
      <w:r>
        <w:rPr>
          <w:rFonts w:cs="Times New Roman"/>
          <w:bCs/>
          <w:sz w:val="28"/>
          <w:szCs w:val="28"/>
          <w:lang w:eastAsia="ru-RU"/>
        </w:rPr>
        <w:t xml:space="preserve">2. </w:t>
      </w:r>
      <w:r w:rsidRPr="00F31014">
        <w:rPr>
          <w:rFonts w:cs="Times New Roman"/>
          <w:bCs/>
          <w:sz w:val="28"/>
          <w:szCs w:val="28"/>
          <w:lang w:eastAsia="ru-RU"/>
        </w:rPr>
        <w:t>Оповестить</w:t>
      </w:r>
      <w:r>
        <w:rPr>
          <w:rFonts w:cs="Times New Roman"/>
          <w:bCs/>
          <w:sz w:val="28"/>
          <w:szCs w:val="28"/>
          <w:lang w:eastAsia="ru-RU"/>
        </w:rPr>
        <w:t xml:space="preserve"> кандидатов,  </w:t>
      </w:r>
      <w:r w:rsidRPr="00F31014">
        <w:rPr>
          <w:rFonts w:cs="Times New Roman"/>
          <w:bCs/>
          <w:sz w:val="28"/>
          <w:szCs w:val="28"/>
          <w:lang w:eastAsia="ru-RU"/>
        </w:rPr>
        <w:t>фамилии которых внесены в избирательный бюллетень для голосования на</w:t>
      </w:r>
      <w:r>
        <w:rPr>
          <w:rFonts w:cs="Times New Roman"/>
          <w:bCs/>
          <w:sz w:val="28"/>
          <w:szCs w:val="28"/>
          <w:lang w:eastAsia="ru-RU"/>
        </w:rPr>
        <w:t xml:space="preserve"> досрочных </w:t>
      </w:r>
      <w:r w:rsidRPr="00F31014">
        <w:rPr>
          <w:rFonts w:cs="Times New Roman"/>
          <w:bCs/>
          <w:sz w:val="28"/>
          <w:szCs w:val="28"/>
          <w:lang w:eastAsia="ru-RU"/>
        </w:rPr>
        <w:t xml:space="preserve"> выборах </w:t>
      </w:r>
      <w:r>
        <w:rPr>
          <w:rFonts w:cs="Times New Roman"/>
          <w:bCs/>
          <w:sz w:val="28"/>
          <w:szCs w:val="28"/>
          <w:lang w:eastAsia="ru-RU"/>
        </w:rPr>
        <w:t xml:space="preserve">главы </w:t>
      </w:r>
      <w:proofErr w:type="spellStart"/>
      <w:r>
        <w:rPr>
          <w:rFonts w:cs="Times New Roman"/>
          <w:bCs/>
          <w:sz w:val="28"/>
          <w:szCs w:val="28"/>
          <w:lang w:eastAsia="ru-RU"/>
        </w:rPr>
        <w:t>Новошахтинского</w:t>
      </w:r>
      <w:proofErr w:type="spellEnd"/>
      <w:r>
        <w:rPr>
          <w:rFonts w:cs="Times New Roman"/>
          <w:bCs/>
          <w:sz w:val="28"/>
          <w:szCs w:val="28"/>
          <w:lang w:eastAsia="ru-RU"/>
        </w:rPr>
        <w:t xml:space="preserve"> городского поселения Михайловского муниципального района Приморского края</w:t>
      </w:r>
      <w:r w:rsidR="0080254E">
        <w:rPr>
          <w:rFonts w:cs="Times New Roman"/>
          <w:bCs/>
          <w:sz w:val="28"/>
          <w:szCs w:val="28"/>
          <w:lang w:eastAsia="ru-RU"/>
        </w:rPr>
        <w:t xml:space="preserve">, </w:t>
      </w:r>
      <w:bookmarkStart w:id="0" w:name="_GoBack"/>
      <w:bookmarkEnd w:id="0"/>
      <w:r>
        <w:rPr>
          <w:rFonts w:cs="Times New Roman"/>
          <w:bCs/>
          <w:sz w:val="28"/>
          <w:szCs w:val="28"/>
          <w:lang w:eastAsia="ru-RU"/>
        </w:rPr>
        <w:t xml:space="preserve"> </w:t>
      </w:r>
      <w:r w:rsidRPr="00F31014">
        <w:rPr>
          <w:rFonts w:cs="Times New Roman"/>
          <w:bCs/>
          <w:sz w:val="28"/>
          <w:szCs w:val="28"/>
          <w:lang w:eastAsia="ru-RU"/>
        </w:rPr>
        <w:t>о времени и месте передачи избирательных бюллетеней.</w:t>
      </w:r>
    </w:p>
    <w:p w:rsidR="00F31014" w:rsidRPr="00F31014" w:rsidRDefault="00F31014" w:rsidP="00F31014">
      <w:pPr>
        <w:suppressAutoHyphens w:val="0"/>
        <w:spacing w:line="360" w:lineRule="auto"/>
        <w:ind w:firstLine="720"/>
        <w:jc w:val="both"/>
        <w:rPr>
          <w:rFonts w:cs="Times New Roman"/>
          <w:bCs/>
          <w:sz w:val="28"/>
          <w:szCs w:val="28"/>
          <w:lang w:eastAsia="ru-RU"/>
        </w:rPr>
      </w:pPr>
      <w:r w:rsidRPr="00F31014">
        <w:rPr>
          <w:rFonts w:cs="Times New Roman"/>
          <w:bCs/>
          <w:sz w:val="28"/>
          <w:szCs w:val="28"/>
          <w:lang w:eastAsia="ru-RU"/>
        </w:rPr>
        <w:lastRenderedPageBreak/>
        <w:t>3. Направить настоящ</w:t>
      </w:r>
      <w:r>
        <w:rPr>
          <w:rFonts w:cs="Times New Roman"/>
          <w:bCs/>
          <w:sz w:val="28"/>
          <w:szCs w:val="28"/>
          <w:lang w:eastAsia="ru-RU"/>
        </w:rPr>
        <w:t>ее решение ОО</w:t>
      </w:r>
      <w:r w:rsidRPr="00F31014">
        <w:rPr>
          <w:rFonts w:cs="Times New Roman"/>
          <w:bCs/>
          <w:sz w:val="28"/>
          <w:szCs w:val="28"/>
          <w:lang w:eastAsia="ru-RU"/>
        </w:rPr>
        <w:t>О «</w:t>
      </w:r>
      <w:r>
        <w:rPr>
          <w:rFonts w:cs="Times New Roman"/>
          <w:bCs/>
          <w:sz w:val="28"/>
          <w:szCs w:val="28"/>
          <w:lang w:eastAsia="ru-RU"/>
        </w:rPr>
        <w:t xml:space="preserve">Былина </w:t>
      </w:r>
      <w:proofErr w:type="spellStart"/>
      <w:r>
        <w:rPr>
          <w:rFonts w:cs="Times New Roman"/>
          <w:bCs/>
          <w:sz w:val="28"/>
          <w:szCs w:val="28"/>
          <w:lang w:eastAsia="ru-RU"/>
        </w:rPr>
        <w:t>Ко</w:t>
      </w:r>
      <w:proofErr w:type="gramStart"/>
      <w:r>
        <w:rPr>
          <w:rFonts w:cs="Times New Roman"/>
          <w:bCs/>
          <w:sz w:val="28"/>
          <w:szCs w:val="28"/>
          <w:lang w:eastAsia="ru-RU"/>
        </w:rPr>
        <w:t>.Л</w:t>
      </w:r>
      <w:proofErr w:type="gramEnd"/>
      <w:r>
        <w:rPr>
          <w:rFonts w:cs="Times New Roman"/>
          <w:bCs/>
          <w:sz w:val="28"/>
          <w:szCs w:val="28"/>
          <w:lang w:eastAsia="ru-RU"/>
        </w:rPr>
        <w:t>ТД</w:t>
      </w:r>
      <w:proofErr w:type="spellEnd"/>
      <w:r w:rsidRPr="00F31014">
        <w:rPr>
          <w:rFonts w:cs="Times New Roman"/>
          <w:bCs/>
          <w:sz w:val="28"/>
          <w:szCs w:val="28"/>
          <w:lang w:eastAsia="ru-RU"/>
        </w:rPr>
        <w:t>».</w:t>
      </w:r>
    </w:p>
    <w:p w:rsidR="00F31014" w:rsidRPr="00F31014" w:rsidRDefault="00F31014" w:rsidP="00F31014">
      <w:pPr>
        <w:suppressAutoHyphens w:val="0"/>
        <w:spacing w:line="360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31014">
        <w:rPr>
          <w:rFonts w:cs="Times New Roman"/>
          <w:sz w:val="28"/>
          <w:szCs w:val="28"/>
          <w:lang w:eastAsia="ru-RU"/>
        </w:rPr>
        <w:t xml:space="preserve">4. Направить копию настоящего решения в </w:t>
      </w:r>
      <w:r w:rsidR="009D0329">
        <w:rPr>
          <w:rFonts w:cs="Times New Roman"/>
          <w:sz w:val="28"/>
          <w:szCs w:val="28"/>
          <w:lang w:eastAsia="ru-RU"/>
        </w:rPr>
        <w:t>О</w:t>
      </w:r>
      <w:r>
        <w:rPr>
          <w:rFonts w:cs="Times New Roman"/>
          <w:sz w:val="28"/>
          <w:szCs w:val="28"/>
          <w:lang w:eastAsia="ru-RU"/>
        </w:rPr>
        <w:t>МВД России по Приморскому краю в Михайловском муниципальном районе.</w:t>
      </w:r>
    </w:p>
    <w:p w:rsidR="00F31014" w:rsidRPr="00F31014" w:rsidRDefault="00F31014" w:rsidP="00F31014">
      <w:pPr>
        <w:suppressAutoHyphens w:val="0"/>
        <w:spacing w:line="360" w:lineRule="auto"/>
        <w:jc w:val="both"/>
        <w:rPr>
          <w:rFonts w:cs="Times New Roman"/>
          <w:sz w:val="28"/>
          <w:szCs w:val="28"/>
          <w:lang w:eastAsia="ru-RU"/>
        </w:rPr>
      </w:pPr>
    </w:p>
    <w:p w:rsidR="00F31014" w:rsidRDefault="00F31014" w:rsidP="00F31014">
      <w:pPr>
        <w:spacing w:line="360" w:lineRule="auto"/>
        <w:jc w:val="both"/>
        <w:rPr>
          <w:rFonts w:cs="Times New Roman"/>
          <w:sz w:val="28"/>
          <w:szCs w:val="28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F31014" w:rsidTr="00EE01AF">
        <w:tc>
          <w:tcPr>
            <w:tcW w:w="6912" w:type="dxa"/>
            <w:hideMark/>
          </w:tcPr>
          <w:p w:rsidR="00F31014" w:rsidRDefault="00F31014" w:rsidP="00F31014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F31014" w:rsidRDefault="00F31014" w:rsidP="00F31014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Н.С. Горбачева</w:t>
            </w:r>
          </w:p>
        </w:tc>
      </w:tr>
      <w:tr w:rsidR="00F31014" w:rsidTr="00EE01AF">
        <w:tc>
          <w:tcPr>
            <w:tcW w:w="6912" w:type="dxa"/>
          </w:tcPr>
          <w:p w:rsidR="00F31014" w:rsidRDefault="00F31014" w:rsidP="00EE01AF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  <w:tc>
          <w:tcPr>
            <w:tcW w:w="2662" w:type="dxa"/>
          </w:tcPr>
          <w:p w:rsidR="00F31014" w:rsidRDefault="00F31014" w:rsidP="00EE01AF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</w:tr>
      <w:tr w:rsidR="00F31014" w:rsidTr="00EE01AF">
        <w:tc>
          <w:tcPr>
            <w:tcW w:w="6912" w:type="dxa"/>
            <w:hideMark/>
          </w:tcPr>
          <w:p w:rsidR="00F31014" w:rsidRDefault="00F31014" w:rsidP="00EE01AF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3"/>
                <w:sz w:val="28"/>
                <w:szCs w:val="28"/>
              </w:rPr>
              <w:t xml:space="preserve">Секретарь </w:t>
            </w:r>
            <w:r>
              <w:rPr>
                <w:rFonts w:cs="Times New Roman"/>
                <w:spacing w:val="-1"/>
                <w:sz w:val="28"/>
                <w:szCs w:val="28"/>
              </w:rPr>
              <w:t>комиссии</w:t>
            </w:r>
          </w:p>
        </w:tc>
        <w:tc>
          <w:tcPr>
            <w:tcW w:w="2662" w:type="dxa"/>
            <w:hideMark/>
          </w:tcPr>
          <w:p w:rsidR="00F31014" w:rsidRDefault="00F31014" w:rsidP="00EE01AF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Г.В. Никитина</w:t>
            </w:r>
          </w:p>
        </w:tc>
      </w:tr>
    </w:tbl>
    <w:p w:rsidR="00F31014" w:rsidRDefault="00F31014" w:rsidP="00F31014">
      <w:pPr>
        <w:jc w:val="both"/>
        <w:rPr>
          <w:rFonts w:cs="Times New Roman"/>
          <w:sz w:val="28"/>
          <w:szCs w:val="28"/>
        </w:rPr>
      </w:pPr>
    </w:p>
    <w:p w:rsidR="00F31014" w:rsidRDefault="00F31014" w:rsidP="00F31014">
      <w:pPr>
        <w:jc w:val="both"/>
        <w:rPr>
          <w:rFonts w:cs="Times New Roman"/>
          <w:sz w:val="28"/>
          <w:szCs w:val="28"/>
        </w:rPr>
      </w:pPr>
    </w:p>
    <w:p w:rsidR="00EE3B06" w:rsidRDefault="00EE3B06"/>
    <w:sectPr w:rsidR="00EE3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83454"/>
    <w:multiLevelType w:val="hybridMultilevel"/>
    <w:tmpl w:val="34144002"/>
    <w:lvl w:ilvl="0" w:tplc="338AB39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014"/>
    <w:rsid w:val="0080254E"/>
    <w:rsid w:val="009D0329"/>
    <w:rsid w:val="00EE3B06"/>
    <w:rsid w:val="00F3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14"/>
    <w:pPr>
      <w:suppressAutoHyphens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0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01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14"/>
    <w:pPr>
      <w:suppressAutoHyphens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0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01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2015-04-23T07:13:00Z</cp:lastPrinted>
  <dcterms:created xsi:type="dcterms:W3CDTF">2015-04-23T06:38:00Z</dcterms:created>
  <dcterms:modified xsi:type="dcterms:W3CDTF">2015-04-23T07:13:00Z</dcterms:modified>
</cp:coreProperties>
</file>